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3FC2" w14:textId="77777777" w:rsidR="005559F4" w:rsidRDefault="005559F4" w:rsidP="005559F4">
      <w:pPr>
        <w:pStyle w:val="Spis1"/>
        <w:spacing w:after="113"/>
        <w:rPr>
          <w:color w:val="DA8D00"/>
        </w:rPr>
      </w:pPr>
      <w:r>
        <w:rPr>
          <w:color w:val="DA8D00"/>
        </w:rPr>
        <w:t>ROZPRAWY I DYSERTACJE</w:t>
      </w:r>
    </w:p>
    <w:p w14:paraId="6140DAA1" w14:textId="77777777" w:rsidR="005559F4" w:rsidRDefault="005559F4" w:rsidP="005559F4">
      <w:pPr>
        <w:pStyle w:val="Spis2"/>
      </w:pPr>
      <w:r>
        <w:t>dr Beata Rogalska</w:t>
      </w:r>
    </w:p>
    <w:p w14:paraId="10103493" w14:textId="77777777" w:rsidR="005559F4" w:rsidRDefault="005559F4" w:rsidP="005559F4">
      <w:pPr>
        <w:pStyle w:val="Spis3"/>
      </w:pPr>
      <w:r>
        <w:t>Moment powstania obowiązku podatkowego w podatku od towarów i usług w przypadku podmiotów dokonujących dostaw lub dystrybucji energii elektrycznej i gazu ziemnego – wady przyjętych rozwiązań prawnych</w:t>
      </w:r>
      <w:r>
        <w:tab/>
      </w:r>
      <w:r>
        <w:tab/>
        <w:t>4</w:t>
      </w:r>
    </w:p>
    <w:p w14:paraId="58BD95F6" w14:textId="77777777" w:rsidR="005559F4" w:rsidRDefault="005559F4" w:rsidP="005559F4">
      <w:pPr>
        <w:pStyle w:val="Spis2"/>
      </w:pPr>
      <w:r>
        <w:t>dr Agnieszka Sobiech, Maciej Sobiech</w:t>
      </w:r>
    </w:p>
    <w:p w14:paraId="7C2EDECC" w14:textId="77777777" w:rsidR="005559F4" w:rsidRDefault="005559F4" w:rsidP="005559F4">
      <w:pPr>
        <w:pStyle w:val="Spis3"/>
      </w:pPr>
      <w:r>
        <w:t>Opodatkowanie pośrednika w modelu logistycznym opartym na </w:t>
      </w:r>
      <w:proofErr w:type="spellStart"/>
      <w:r>
        <w:t>dropshippingu</w:t>
      </w:r>
      <w:proofErr w:type="spellEnd"/>
      <w:r>
        <w:tab/>
      </w:r>
      <w:r>
        <w:tab/>
        <w:t>10</w:t>
      </w:r>
    </w:p>
    <w:p w14:paraId="2D262F8C" w14:textId="77777777" w:rsidR="005559F4" w:rsidRDefault="005559F4" w:rsidP="005559F4">
      <w:pPr>
        <w:pStyle w:val="Spis1"/>
        <w:spacing w:before="227" w:after="113"/>
      </w:pPr>
      <w:r>
        <w:t>ARTYKUŁY I STUDIA</w:t>
      </w:r>
    </w:p>
    <w:p w14:paraId="2CFAD604" w14:textId="77777777" w:rsidR="005559F4" w:rsidRDefault="005559F4" w:rsidP="005559F4">
      <w:pPr>
        <w:pStyle w:val="Spis2"/>
      </w:pPr>
      <w:r>
        <w:t>Małgorzata Słomka</w:t>
      </w:r>
    </w:p>
    <w:p w14:paraId="2DF12E39" w14:textId="77777777" w:rsidR="005559F4" w:rsidRDefault="005559F4" w:rsidP="005559F4">
      <w:pPr>
        <w:pStyle w:val="Spis3"/>
      </w:pPr>
      <w:r>
        <w:t>Wniesienie aportem przez gminę nieruchomości zabudowanej – skutki w podatku od towarów i usług</w:t>
      </w:r>
      <w:r>
        <w:tab/>
      </w:r>
      <w:r>
        <w:tab/>
        <w:t>13</w:t>
      </w:r>
    </w:p>
    <w:p w14:paraId="18870139" w14:textId="77777777" w:rsidR="005559F4" w:rsidRDefault="005559F4" w:rsidP="005559F4">
      <w:pPr>
        <w:pStyle w:val="Spis2"/>
      </w:pPr>
      <w:r>
        <w:t>Adrian Kozakiewicz</w:t>
      </w:r>
    </w:p>
    <w:p w14:paraId="0E46AA3F" w14:textId="77777777" w:rsidR="005559F4" w:rsidRDefault="005559F4" w:rsidP="005559F4">
      <w:pPr>
        <w:pStyle w:val="Spis3"/>
      </w:pPr>
      <w:r>
        <w:t>Płatność kartą płatniczą za pośrednictwem terminala płatniczego zrównana z płatnością gotówką</w:t>
      </w:r>
      <w:r>
        <w:tab/>
      </w:r>
      <w:r>
        <w:tab/>
        <w:t>15</w:t>
      </w:r>
    </w:p>
    <w:p w14:paraId="47FDF1C0" w14:textId="77777777" w:rsidR="005559F4" w:rsidRDefault="005559F4" w:rsidP="005559F4">
      <w:pPr>
        <w:pStyle w:val="Spis2"/>
      </w:pPr>
      <w:r>
        <w:t>Alicja Przybyło</w:t>
      </w:r>
    </w:p>
    <w:p w14:paraId="74303BCC" w14:textId="77777777" w:rsidR="005559F4" w:rsidRDefault="005559F4" w:rsidP="005559F4">
      <w:pPr>
        <w:pStyle w:val="Spis3"/>
      </w:pPr>
      <w:r>
        <w:t>Stanowisko Komisji Europejskiej na temat mechanizmu podzielonej płatności w kontekście podatku od towarów i usług</w:t>
      </w:r>
      <w:r>
        <w:tab/>
      </w:r>
      <w:r>
        <w:tab/>
        <w:t>18</w:t>
      </w:r>
    </w:p>
    <w:p w14:paraId="7972F445" w14:textId="77777777" w:rsidR="005559F4" w:rsidRDefault="005559F4" w:rsidP="005559F4">
      <w:pPr>
        <w:pStyle w:val="Spis2"/>
      </w:pPr>
      <w:r>
        <w:t>Katarzyna Wawrzonkiewicz</w:t>
      </w:r>
    </w:p>
    <w:p w14:paraId="4A120250" w14:textId="77777777" w:rsidR="005559F4" w:rsidRDefault="005559F4" w:rsidP="005559F4">
      <w:pPr>
        <w:pStyle w:val="Spis3"/>
      </w:pPr>
      <w:r>
        <w:t>Sukcesja przedsiębiorstw bez podatku od towarów i usług</w:t>
      </w:r>
      <w:r>
        <w:tab/>
      </w:r>
      <w:r>
        <w:tab/>
        <w:t>21</w:t>
      </w:r>
    </w:p>
    <w:p w14:paraId="2FEF8BA8" w14:textId="77777777" w:rsidR="005559F4" w:rsidRDefault="005559F4" w:rsidP="005559F4">
      <w:pPr>
        <w:pStyle w:val="Spis2"/>
      </w:pPr>
      <w:r>
        <w:t>Martyna Betiuk</w:t>
      </w:r>
    </w:p>
    <w:p w14:paraId="13CD88A5" w14:textId="77777777" w:rsidR="005559F4" w:rsidRDefault="005559F4" w:rsidP="005559F4">
      <w:pPr>
        <w:pStyle w:val="Spis3"/>
      </w:pPr>
      <w:r>
        <w:t>Podatek katastralny a podatek od nieruchomości</w:t>
      </w:r>
      <w:r>
        <w:tab/>
      </w:r>
      <w:r>
        <w:tab/>
        <w:t>23</w:t>
      </w:r>
    </w:p>
    <w:p w14:paraId="4EFFE8E6" w14:textId="77777777" w:rsidR="005559F4" w:rsidRDefault="005559F4" w:rsidP="005559F4">
      <w:pPr>
        <w:pStyle w:val="Spis2"/>
      </w:pPr>
      <w:r>
        <w:t>Barbara Głowacka</w:t>
      </w:r>
    </w:p>
    <w:p w14:paraId="4A9699EB" w14:textId="77777777" w:rsidR="005559F4" w:rsidRDefault="005559F4" w:rsidP="005559F4">
      <w:pPr>
        <w:pStyle w:val="Spis3"/>
      </w:pPr>
      <w:r>
        <w:t>Sprzedaż części zamiennych do wyrobu medycznego a stawka VAT</w:t>
      </w:r>
      <w:r>
        <w:tab/>
      </w:r>
      <w:r>
        <w:tab/>
        <w:t>24</w:t>
      </w:r>
    </w:p>
    <w:p w14:paraId="0E9BA876" w14:textId="77777777" w:rsidR="005559F4" w:rsidRDefault="005559F4" w:rsidP="005559F4">
      <w:pPr>
        <w:pStyle w:val="Spis2"/>
      </w:pPr>
      <w:r>
        <w:t>Maciej Jendraszczyk</w:t>
      </w:r>
    </w:p>
    <w:p w14:paraId="049A736A" w14:textId="77777777" w:rsidR="005559F4" w:rsidRDefault="005559F4" w:rsidP="005559F4">
      <w:pPr>
        <w:pStyle w:val="Spis3"/>
      </w:pPr>
      <w:r>
        <w:t>Kasy rejestrujące mające postać oprogramowania – najważniejsze informacje dla podatników</w:t>
      </w:r>
      <w:r>
        <w:tab/>
      </w:r>
      <w:r>
        <w:tab/>
        <w:t>28</w:t>
      </w:r>
    </w:p>
    <w:p w14:paraId="344A53FE" w14:textId="77777777" w:rsidR="005559F4" w:rsidRDefault="005559F4" w:rsidP="005559F4">
      <w:pPr>
        <w:pStyle w:val="Spis2"/>
      </w:pPr>
      <w:r>
        <w:t>Błażej Materna</w:t>
      </w:r>
    </w:p>
    <w:p w14:paraId="228510BD" w14:textId="77777777" w:rsidR="005559F4" w:rsidRDefault="005559F4" w:rsidP="005559F4">
      <w:pPr>
        <w:pStyle w:val="Spis3"/>
      </w:pPr>
      <w:r>
        <w:t>Działalność nierejestrowa w 2020 r.</w:t>
      </w:r>
      <w:r>
        <w:tab/>
      </w:r>
      <w:r>
        <w:tab/>
        <w:t>32</w:t>
      </w:r>
    </w:p>
    <w:p w14:paraId="65DFF7DA" w14:textId="77777777" w:rsidR="005559F4" w:rsidRDefault="005559F4" w:rsidP="005559F4">
      <w:pPr>
        <w:pStyle w:val="Spis2"/>
      </w:pPr>
      <w:r>
        <w:t>Kacper Wolak</w:t>
      </w:r>
    </w:p>
    <w:p w14:paraId="5C345430" w14:textId="77777777" w:rsidR="005559F4" w:rsidRDefault="005559F4" w:rsidP="005559F4">
      <w:pPr>
        <w:pStyle w:val="Spis3"/>
      </w:pPr>
      <w:r>
        <w:t>Stawka podatku od towarów i usług dla świadczenia polegającego na wykonaniu trwałej zabudowy meblowej w obiektach budownictwa objętego społecznym programem mieszkaniowym</w:t>
      </w:r>
      <w:r>
        <w:tab/>
      </w:r>
      <w:r>
        <w:tab/>
        <w:t>35</w:t>
      </w:r>
    </w:p>
    <w:p w14:paraId="5E8EA827" w14:textId="77777777" w:rsidR="005559F4" w:rsidRDefault="005559F4" w:rsidP="005559F4">
      <w:pPr>
        <w:pStyle w:val="Spis2"/>
      </w:pPr>
      <w:r>
        <w:t>Sebastian Kopacz</w:t>
      </w:r>
    </w:p>
    <w:p w14:paraId="21D5BD88" w14:textId="77777777" w:rsidR="005559F4" w:rsidRDefault="005559F4" w:rsidP="005559F4">
      <w:pPr>
        <w:pStyle w:val="Spis3"/>
      </w:pPr>
      <w:r>
        <w:t>Pośrednictwo handlowe a podatek u źródła</w:t>
      </w:r>
      <w:r>
        <w:tab/>
      </w:r>
      <w:r>
        <w:tab/>
        <w:t>36</w:t>
      </w:r>
    </w:p>
    <w:p w14:paraId="1FD4CA53" w14:textId="77777777" w:rsidR="005559F4" w:rsidRDefault="005559F4" w:rsidP="005559F4">
      <w:pPr>
        <w:pStyle w:val="Spis2"/>
      </w:pPr>
      <w:r>
        <w:t>Marek Zagórski</w:t>
      </w:r>
    </w:p>
    <w:p w14:paraId="4162834E" w14:textId="77777777" w:rsidR="005559F4" w:rsidRDefault="005559F4" w:rsidP="005559F4">
      <w:pPr>
        <w:pStyle w:val="Spis3"/>
      </w:pPr>
      <w:r>
        <w:t>Zwolnienie dochodów przeznaczonych na cele statutowe na podstawie art. 17 ust. 1 pkt 4 ustawy z dnia 15 lutego 1992 r. o podatku dochodowym od osób prawnych</w:t>
      </w:r>
      <w:r>
        <w:tab/>
      </w:r>
      <w:r>
        <w:tab/>
        <w:t>38</w:t>
      </w:r>
    </w:p>
    <w:p w14:paraId="7B54272A" w14:textId="77777777" w:rsidR="005559F4" w:rsidRDefault="005559F4" w:rsidP="005559F4">
      <w:pPr>
        <w:pStyle w:val="Spis2"/>
      </w:pPr>
      <w:r>
        <w:t>Aleksandra Szczęsny</w:t>
      </w:r>
    </w:p>
    <w:p w14:paraId="666F82AC" w14:textId="77777777" w:rsidR="005559F4" w:rsidRDefault="005559F4" w:rsidP="005559F4">
      <w:pPr>
        <w:pStyle w:val="Spis3"/>
      </w:pPr>
      <w:r>
        <w:t>Ubezpieczenie samochodu osobowego a koszty uzyskania przychodów</w:t>
      </w:r>
      <w:r>
        <w:tab/>
      </w:r>
      <w:r>
        <w:tab/>
        <w:t>40</w:t>
      </w:r>
    </w:p>
    <w:p w14:paraId="5EF4E99B" w14:textId="77777777" w:rsidR="005559F4" w:rsidRDefault="005559F4" w:rsidP="005559F4">
      <w:pPr>
        <w:pStyle w:val="Spis1"/>
        <w:spacing w:before="227" w:after="113"/>
        <w:rPr>
          <w:color w:val="69104E"/>
        </w:rPr>
      </w:pPr>
      <w:r>
        <w:rPr>
          <w:color w:val="69104E"/>
        </w:rPr>
        <w:lastRenderedPageBreak/>
        <w:t>ANALIZY I OPINIE</w:t>
      </w:r>
    </w:p>
    <w:p w14:paraId="74B2D970" w14:textId="77777777" w:rsidR="005559F4" w:rsidRDefault="005559F4" w:rsidP="005559F4">
      <w:pPr>
        <w:pStyle w:val="Spis2"/>
      </w:pPr>
      <w:r>
        <w:t>dr Joanna Kiszka</w:t>
      </w:r>
    </w:p>
    <w:p w14:paraId="0C4CA0BE" w14:textId="77777777" w:rsidR="005559F4" w:rsidRDefault="005559F4" w:rsidP="005559F4">
      <w:pPr>
        <w:pStyle w:val="Spis3"/>
      </w:pPr>
      <w:r>
        <w:t>Podatkowe instrumenty wsparcia przedsięwzięć termomodernizacyjnych – wybrane problemy</w:t>
      </w:r>
      <w:r>
        <w:tab/>
      </w:r>
      <w:r>
        <w:tab/>
        <w:t>42</w:t>
      </w:r>
    </w:p>
    <w:p w14:paraId="72BF40A8" w14:textId="77777777" w:rsidR="005559F4" w:rsidRDefault="005559F4" w:rsidP="005559F4">
      <w:pPr>
        <w:pStyle w:val="Spis2"/>
      </w:pPr>
      <w:r>
        <w:t>Alan Lipnicki</w:t>
      </w:r>
    </w:p>
    <w:p w14:paraId="2E20709B" w14:textId="77777777" w:rsidR="005559F4" w:rsidRDefault="005559F4" w:rsidP="005559F4">
      <w:pPr>
        <w:pStyle w:val="Spis3"/>
      </w:pPr>
      <w:r>
        <w:t>Ocena zaplecza prowadzonej działalności gospodarczej powinna uwzględniać przepisy prawa</w:t>
      </w:r>
      <w:r>
        <w:tab/>
      </w:r>
      <w:r>
        <w:tab/>
        <w:t>48</w:t>
      </w:r>
    </w:p>
    <w:p w14:paraId="2D8CC2A7" w14:textId="77777777" w:rsidR="005559F4" w:rsidRDefault="005559F4" w:rsidP="005559F4">
      <w:pPr>
        <w:pStyle w:val="Spis2"/>
      </w:pPr>
      <w:r>
        <w:t>Mariusz Kuśmierczyk</w:t>
      </w:r>
    </w:p>
    <w:p w14:paraId="0C143A11" w14:textId="77777777" w:rsidR="005559F4" w:rsidRDefault="005559F4" w:rsidP="005559F4">
      <w:pPr>
        <w:pStyle w:val="Spis3"/>
      </w:pPr>
      <w:r>
        <w:t>Wybrane aspekty cywilnoprawne i podatkowe darowizny</w:t>
      </w:r>
      <w:r>
        <w:tab/>
      </w:r>
      <w:r>
        <w:tab/>
        <w:t>50</w:t>
      </w:r>
    </w:p>
    <w:p w14:paraId="7F0456E5" w14:textId="77777777" w:rsidR="005559F4" w:rsidRDefault="005559F4" w:rsidP="005559F4">
      <w:pPr>
        <w:pStyle w:val="Spis2"/>
      </w:pPr>
      <w:r>
        <w:t>prof. dr hab. Witold Modzelewski</w:t>
      </w:r>
    </w:p>
    <w:p w14:paraId="64867C49" w14:textId="77777777" w:rsidR="005559F4" w:rsidRDefault="005559F4" w:rsidP="005559F4">
      <w:pPr>
        <w:pStyle w:val="Spis3"/>
      </w:pPr>
      <w:r>
        <w:t>Jakie zmiany czekają podatników w akcyzie w drugiej połowie 2020 r.?</w:t>
      </w:r>
      <w:r>
        <w:tab/>
      </w:r>
      <w:r>
        <w:tab/>
        <w:t>54</w:t>
      </w:r>
    </w:p>
    <w:p w14:paraId="165AE858" w14:textId="77777777" w:rsidR="005559F4" w:rsidRDefault="005559F4" w:rsidP="005559F4">
      <w:pPr>
        <w:pStyle w:val="Spis1"/>
        <w:spacing w:after="113"/>
        <w:rPr>
          <w:color w:val="256572"/>
        </w:rPr>
      </w:pPr>
      <w:r>
        <w:rPr>
          <w:color w:val="256572"/>
        </w:rPr>
        <w:t>UBEZPIECZENIA SPOŁECZNE</w:t>
      </w:r>
    </w:p>
    <w:p w14:paraId="38903A0E" w14:textId="77777777" w:rsidR="005559F4" w:rsidRDefault="005559F4" w:rsidP="005559F4">
      <w:pPr>
        <w:pStyle w:val="Spis3"/>
      </w:pPr>
      <w:r>
        <w:t>Ciąg dalszy wsparcia ZUS w ramach tarczy antykryzysowej. Dodatek solidarnościowy</w:t>
      </w:r>
      <w:r>
        <w:tab/>
      </w:r>
      <w:r>
        <w:tab/>
        <w:t>55</w:t>
      </w:r>
    </w:p>
    <w:p w14:paraId="10100CDF" w14:textId="77777777" w:rsidR="005559F4" w:rsidRDefault="005559F4" w:rsidP="005559F4">
      <w:pPr>
        <w:pStyle w:val="Spis2"/>
      </w:pPr>
      <w:r>
        <w:t>Mariusz Kuśmierczyk</w:t>
      </w:r>
    </w:p>
    <w:p w14:paraId="52CA7C0F" w14:textId="77777777" w:rsidR="005559F4" w:rsidRDefault="005559F4" w:rsidP="005559F4">
      <w:pPr>
        <w:pStyle w:val="Spis3"/>
      </w:pPr>
      <w:r>
        <w:t>Nie tylko Tarcza Antykryzysowa – uregulowania prawne umożliwiające pomoc przy problemach z opłacaniem należności z tytułu składek</w:t>
      </w:r>
      <w:r>
        <w:tab/>
      </w:r>
      <w:r>
        <w:tab/>
        <w:t>58</w:t>
      </w:r>
    </w:p>
    <w:p w14:paraId="3D063C5E" w14:textId="77777777" w:rsidR="005559F4" w:rsidRDefault="005559F4" w:rsidP="005559F4">
      <w:pPr>
        <w:pStyle w:val="Spis2"/>
      </w:pPr>
      <w:r>
        <w:t>Marek Zagórski</w:t>
      </w:r>
    </w:p>
    <w:p w14:paraId="3346B1B9" w14:textId="77777777" w:rsidR="005559F4" w:rsidRDefault="005559F4" w:rsidP="005559F4">
      <w:pPr>
        <w:pStyle w:val="Spis3"/>
      </w:pPr>
      <w:r>
        <w:t>Korzystanie przez pracodawcę z usług podmiotu zewnętrznego, który zatrudnia jego pracowników</w:t>
      </w:r>
      <w:r>
        <w:tab/>
      </w:r>
      <w:r>
        <w:tab/>
        <w:t>61</w:t>
      </w:r>
    </w:p>
    <w:p w14:paraId="3A1CDC4D" w14:textId="77777777" w:rsidR="005559F4" w:rsidRDefault="005559F4" w:rsidP="005559F4">
      <w:pPr>
        <w:pStyle w:val="Spis2"/>
      </w:pPr>
      <w:r>
        <w:t>Malwina Sik</w:t>
      </w:r>
    </w:p>
    <w:p w14:paraId="003C4480" w14:textId="77777777" w:rsidR="005559F4" w:rsidRDefault="005559F4" w:rsidP="005559F4">
      <w:pPr>
        <w:pStyle w:val="Spis3"/>
      </w:pPr>
      <w:r>
        <w:t>Umorzenie zaległości składkowych</w:t>
      </w:r>
      <w:r>
        <w:tab/>
      </w:r>
      <w:r>
        <w:tab/>
        <w:t>63</w:t>
      </w:r>
    </w:p>
    <w:p w14:paraId="231CA3C4" w14:textId="77777777" w:rsidR="005559F4" w:rsidRDefault="005559F4" w:rsidP="005559F4">
      <w:pPr>
        <w:pStyle w:val="Spis1"/>
        <w:spacing w:before="227" w:after="113"/>
        <w:rPr>
          <w:color w:val="53A677"/>
        </w:rPr>
      </w:pPr>
      <w:r>
        <w:rPr>
          <w:color w:val="53A677"/>
        </w:rPr>
        <w:t>Dział Publicystyczny</w:t>
      </w:r>
    </w:p>
    <w:p w14:paraId="1CC351B3" w14:textId="77777777" w:rsidR="005559F4" w:rsidRDefault="005559F4" w:rsidP="005559F4">
      <w:pPr>
        <w:pStyle w:val="Spis2"/>
      </w:pPr>
      <w:r>
        <w:t>dr Dariusz Maciej Grabowski</w:t>
      </w:r>
    </w:p>
    <w:p w14:paraId="0C220A6F" w14:textId="77777777" w:rsidR="005559F4" w:rsidRDefault="005559F4" w:rsidP="005559F4">
      <w:pPr>
        <w:pStyle w:val="Spis3"/>
      </w:pPr>
      <w:r>
        <w:t>Oszczędnością i pracą ludzie… tracą</w:t>
      </w:r>
      <w:r>
        <w:tab/>
      </w:r>
      <w:r>
        <w:tab/>
        <w:t>66</w:t>
      </w:r>
    </w:p>
    <w:p w14:paraId="10F705F7" w14:textId="77777777" w:rsidR="005559F4" w:rsidRDefault="005559F4" w:rsidP="005559F4">
      <w:pPr>
        <w:pStyle w:val="Spis2"/>
      </w:pPr>
      <w:r>
        <w:t>prof. dr hab. Jerzy Żyżyński</w:t>
      </w:r>
    </w:p>
    <w:p w14:paraId="6FAC8CB3" w14:textId="77777777" w:rsidR="005559F4" w:rsidRDefault="005559F4" w:rsidP="005559F4">
      <w:pPr>
        <w:pStyle w:val="Spis3"/>
      </w:pPr>
      <w:r>
        <w:t>Ekonomia – teorie biorą w łeb</w:t>
      </w:r>
      <w:r>
        <w:tab/>
      </w:r>
      <w:r>
        <w:tab/>
        <w:t>68</w:t>
      </w:r>
    </w:p>
    <w:p w14:paraId="499EA32A" w14:textId="77777777" w:rsidR="005559F4" w:rsidRDefault="005559F4" w:rsidP="005559F4">
      <w:pPr>
        <w:pStyle w:val="Spis2"/>
      </w:pPr>
      <w:r>
        <w:t>prof. dr hab. Witold Modzelewski</w:t>
      </w:r>
    </w:p>
    <w:p w14:paraId="65E67113" w14:textId="77777777" w:rsidR="005559F4" w:rsidRDefault="005559F4" w:rsidP="005559F4">
      <w:pPr>
        <w:pStyle w:val="Spis3"/>
      </w:pPr>
      <w:r>
        <w:t>Bunt „czarnuchów”</w:t>
      </w:r>
      <w:r>
        <w:tab/>
      </w:r>
      <w:r>
        <w:tab/>
        <w:t>70</w:t>
      </w:r>
    </w:p>
    <w:p w14:paraId="548CD88B" w14:textId="77777777" w:rsidR="005559F4" w:rsidRDefault="005559F4" w:rsidP="005559F4">
      <w:pPr>
        <w:pStyle w:val="Spis1"/>
        <w:spacing w:before="227" w:after="113"/>
        <w:rPr>
          <w:color w:val="2A3062"/>
        </w:rPr>
      </w:pPr>
      <w:r>
        <w:rPr>
          <w:color w:val="2A3062"/>
        </w:rPr>
        <w:t>PODATKI DLA KSIĘGOWYCH</w:t>
      </w:r>
    </w:p>
    <w:p w14:paraId="3A5C22E4" w14:textId="77777777" w:rsidR="005559F4" w:rsidRDefault="005559F4" w:rsidP="005559F4">
      <w:pPr>
        <w:pStyle w:val="Spis2"/>
      </w:pPr>
      <w:r>
        <w:t>Agata Strocka</w:t>
      </w:r>
    </w:p>
    <w:p w14:paraId="7BB348DC" w14:textId="77777777" w:rsidR="005559F4" w:rsidRDefault="005559F4" w:rsidP="005559F4">
      <w:pPr>
        <w:pStyle w:val="Spis3"/>
        <w:rPr>
          <w:color w:val="2A3062"/>
        </w:rPr>
      </w:pPr>
      <w:r>
        <w:t>Podatki w praktyce. Zbycie udziałów, akcji oraz ogółu praw i obowiązków w spółce osobowej a VAT</w:t>
      </w:r>
      <w:r>
        <w:tab/>
      </w:r>
      <w:r>
        <w:tab/>
        <w:t>71</w:t>
      </w:r>
    </w:p>
    <w:p w14:paraId="27FF1D6E" w14:textId="77777777" w:rsidR="005559F4" w:rsidRDefault="005559F4" w:rsidP="005559F4">
      <w:pPr>
        <w:pStyle w:val="Spis1"/>
        <w:spacing w:before="227" w:after="113"/>
        <w:rPr>
          <w:color w:val="9B7519"/>
        </w:rPr>
      </w:pPr>
      <w:r>
        <w:rPr>
          <w:color w:val="9B7519"/>
        </w:rPr>
        <w:t>JUDYKATURA I INTERPRETACJE</w:t>
      </w:r>
    </w:p>
    <w:p w14:paraId="0118C208" w14:textId="77777777" w:rsidR="005559F4" w:rsidRDefault="005559F4" w:rsidP="005559F4">
      <w:pPr>
        <w:pStyle w:val="Spis3"/>
      </w:pPr>
      <w:r>
        <w:t xml:space="preserve">Orzecznictwo TSUE – wyrok z dnia 11 czerwca 2020 r. w sprawie C-43/19 Vodafone Portugal – </w:t>
      </w:r>
      <w:proofErr w:type="spellStart"/>
      <w:r>
        <w:t>Comunicações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SA v. 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Tributária</w:t>
      </w:r>
      <w:proofErr w:type="spellEnd"/>
      <w:r>
        <w:t xml:space="preserve"> e </w:t>
      </w:r>
      <w:proofErr w:type="spellStart"/>
      <w:r>
        <w:t>Aduaneira</w:t>
      </w:r>
      <w:proofErr w:type="spellEnd"/>
      <w:r>
        <w:t xml:space="preserve"> </w:t>
      </w:r>
      <w:r>
        <w:tab/>
      </w:r>
      <w:r>
        <w:tab/>
        <w:t>74</w:t>
      </w:r>
    </w:p>
    <w:p w14:paraId="2DD861CF" w14:textId="77777777" w:rsidR="005559F4" w:rsidRDefault="005559F4" w:rsidP="005559F4">
      <w:pPr>
        <w:pStyle w:val="Spis1"/>
        <w:spacing w:after="227"/>
      </w:pPr>
      <w:r>
        <w:rPr>
          <w:color w:val="A30C1F"/>
        </w:rPr>
        <w:t>LEGISLACJA PODATKOWA</w:t>
      </w:r>
    </w:p>
    <w:p w14:paraId="612CFED1" w14:textId="77777777" w:rsidR="005559F4" w:rsidRDefault="005559F4" w:rsidP="005559F4">
      <w:pPr>
        <w:pStyle w:val="Spis3"/>
      </w:pPr>
      <w:r>
        <w:t>Ustawa z dnia 29 sierpnia 1997 r. Ordynacja podatkowa</w:t>
      </w:r>
      <w:r>
        <w:tab/>
      </w:r>
      <w:r>
        <w:tab/>
        <w:t>80</w:t>
      </w:r>
    </w:p>
    <w:p w14:paraId="2C7F4D21" w14:textId="77777777" w:rsidR="005559F4" w:rsidRDefault="005559F4"/>
    <w:sectPr w:rsidR="005559F4" w:rsidSect="005559F4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F4"/>
    <w:rsid w:val="005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FEE"/>
  <w15:chartTrackingRefBased/>
  <w15:docId w15:val="{97A05DAE-D3F0-4F27-A68D-048EF056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5559F4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2">
    <w:name w:val="Spis2"/>
    <w:basedOn w:val="Normalny"/>
    <w:uiPriority w:val="99"/>
    <w:rsid w:val="005559F4"/>
    <w:pPr>
      <w:keepNext/>
      <w:keepLines/>
      <w:tabs>
        <w:tab w:val="right" w:leader="dot" w:pos="6803"/>
      </w:tabs>
      <w:autoSpaceDE w:val="0"/>
      <w:autoSpaceDN w:val="0"/>
      <w:adjustRightInd w:val="0"/>
      <w:spacing w:before="227" w:after="0" w:line="240" w:lineRule="atLeas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pis3">
    <w:name w:val="Spis3"/>
    <w:basedOn w:val="Normalny"/>
    <w:uiPriority w:val="99"/>
    <w:rsid w:val="005559F4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10" w:lineRule="atLeast"/>
      <w:ind w:right="510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2020-07-01T12:05:00Z</dcterms:created>
  <dcterms:modified xsi:type="dcterms:W3CDTF">2020-07-01T12:06:00Z</dcterms:modified>
</cp:coreProperties>
</file>