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B" w:rsidRDefault="002F113B" w:rsidP="002F113B">
      <w:pPr>
        <w:pStyle w:val="Spis1"/>
        <w:spacing w:after="113"/>
        <w:rPr>
          <w:color w:val="DA8D00"/>
        </w:rPr>
      </w:pPr>
      <w:r>
        <w:rPr>
          <w:color w:val="DA8D00"/>
        </w:rPr>
        <w:t>ROZPRAWY I DYSERTACJE</w:t>
      </w:r>
    </w:p>
    <w:p w:rsidR="002F113B" w:rsidRDefault="002F113B" w:rsidP="002F113B">
      <w:pPr>
        <w:pStyle w:val="Spis2"/>
      </w:pPr>
      <w:r>
        <w:t xml:space="preserve">Bartosz </w:t>
      </w:r>
      <w:proofErr w:type="spellStart"/>
      <w:r>
        <w:t>Gryziak</w:t>
      </w:r>
      <w:proofErr w:type="spellEnd"/>
    </w:p>
    <w:p w:rsidR="002F113B" w:rsidRDefault="002F113B" w:rsidP="002F113B">
      <w:pPr>
        <w:pStyle w:val="Spis3"/>
      </w:pPr>
      <w:r>
        <w:t>O quasi-karnej ewolucji sankcji podatkowych na przykładzie dodatkowego zobowiązania podatkowego oraz odsetek za zwłokę (polsko-włoska analiza porównawcza)</w:t>
      </w:r>
      <w:r>
        <w:tab/>
      </w:r>
      <w:r>
        <w:tab/>
        <w:t>4</w:t>
      </w:r>
    </w:p>
    <w:p w:rsidR="002F113B" w:rsidRDefault="002F113B" w:rsidP="002F113B">
      <w:pPr>
        <w:pStyle w:val="Spis2"/>
      </w:pPr>
      <w:r>
        <w:t>Katarzyna Czerwińska-Sabała</w:t>
      </w:r>
    </w:p>
    <w:p w:rsidR="002F113B" w:rsidRDefault="002F113B" w:rsidP="002F113B">
      <w:pPr>
        <w:pStyle w:val="Spis3"/>
      </w:pPr>
      <w:r>
        <w:t>Wydatki na własne cele mieszkaniowe w interpretacjach indywidualnych i orzeczeniach sądów administracyjnych</w:t>
      </w:r>
      <w:r>
        <w:tab/>
      </w:r>
      <w:r>
        <w:tab/>
        <w:t>18</w:t>
      </w:r>
    </w:p>
    <w:p w:rsidR="002F113B" w:rsidRDefault="002F113B" w:rsidP="002F113B">
      <w:pPr>
        <w:pStyle w:val="Spis2"/>
      </w:pPr>
      <w:r>
        <w:t>Jan Ney</w:t>
      </w:r>
    </w:p>
    <w:p w:rsidR="002F113B" w:rsidRDefault="002F113B" w:rsidP="002F113B">
      <w:pPr>
        <w:pStyle w:val="Spis3"/>
      </w:pPr>
      <w:r>
        <w:t>Obowiązek raportowania schematów podatkowych (MDR)</w:t>
      </w:r>
      <w:r>
        <w:tab/>
      </w:r>
      <w:r>
        <w:tab/>
        <w:t>21</w:t>
      </w:r>
    </w:p>
    <w:p w:rsidR="002F113B" w:rsidRDefault="002F113B" w:rsidP="002F113B">
      <w:pPr>
        <w:pStyle w:val="Spis1"/>
        <w:spacing w:before="227" w:after="113"/>
      </w:pPr>
      <w:r>
        <w:t>ARTYKUŁY I STUDIA</w:t>
      </w:r>
    </w:p>
    <w:p w:rsidR="002F113B" w:rsidRDefault="002F113B" w:rsidP="002F113B">
      <w:pPr>
        <w:pStyle w:val="Spis2"/>
      </w:pPr>
      <w:r>
        <w:t>Jarosław Włoch, Michał Wiącek</w:t>
      </w:r>
    </w:p>
    <w:p w:rsidR="002F113B" w:rsidRDefault="002F113B" w:rsidP="002F113B">
      <w:pPr>
        <w:pStyle w:val="Spis3"/>
      </w:pPr>
      <w:r>
        <w:t>Czy beneficjenci środków z Tarczy Finansowej Polskiego Funduszu Rozwoju powinni się spodziewać kontroli?</w:t>
      </w:r>
      <w:r>
        <w:tab/>
      </w:r>
      <w:r>
        <w:tab/>
        <w:t>28</w:t>
      </w:r>
    </w:p>
    <w:p w:rsidR="002F113B" w:rsidRDefault="002F113B" w:rsidP="002F113B">
      <w:pPr>
        <w:pStyle w:val="Spis2"/>
      </w:pPr>
      <w:r>
        <w:t>Jan Plewa</w:t>
      </w:r>
    </w:p>
    <w:p w:rsidR="002F113B" w:rsidRDefault="002F113B" w:rsidP="002F113B">
      <w:pPr>
        <w:pStyle w:val="Spis3"/>
      </w:pPr>
      <w:r>
        <w:t>Wystawianie, wydanie i przechowywanie faktur w formie elektronicznej</w:t>
      </w:r>
      <w:r>
        <w:tab/>
      </w:r>
      <w:r>
        <w:tab/>
        <w:t>29</w:t>
      </w:r>
    </w:p>
    <w:p w:rsidR="002F113B" w:rsidRDefault="002F113B" w:rsidP="002F113B">
      <w:pPr>
        <w:pStyle w:val="Spis2"/>
      </w:pPr>
      <w:r>
        <w:t>Michał Wiącek</w:t>
      </w:r>
    </w:p>
    <w:p w:rsidR="002F113B" w:rsidRDefault="002F113B" w:rsidP="002F113B">
      <w:pPr>
        <w:pStyle w:val="Spis3"/>
      </w:pPr>
      <w:r>
        <w:t>Kiedy Polski Fundusz Rozwoju każe zwrócić subwencję lub odmówi jej przyznania?</w:t>
      </w:r>
      <w:r>
        <w:tab/>
      </w:r>
      <w:r>
        <w:tab/>
        <w:t>32</w:t>
      </w:r>
    </w:p>
    <w:p w:rsidR="002F113B" w:rsidRDefault="002F113B" w:rsidP="002F113B">
      <w:pPr>
        <w:pStyle w:val="Spis2"/>
      </w:pPr>
      <w:r>
        <w:t xml:space="preserve">Katarzyna </w:t>
      </w:r>
      <w:proofErr w:type="spellStart"/>
      <w:r>
        <w:t>Wawrzonkiewicz</w:t>
      </w:r>
      <w:proofErr w:type="spellEnd"/>
    </w:p>
    <w:p w:rsidR="002F113B" w:rsidRDefault="002F113B" w:rsidP="002F113B">
      <w:pPr>
        <w:pStyle w:val="Spis3"/>
      </w:pPr>
      <w:r>
        <w:t xml:space="preserve">Zmiany w zakresie przekazywania informacji o schematach podatkowych </w:t>
      </w:r>
      <w:proofErr w:type="spellStart"/>
      <w:r>
        <w:t>transgranicznych</w:t>
      </w:r>
      <w:proofErr w:type="spellEnd"/>
      <w:r>
        <w:tab/>
      </w:r>
      <w:r>
        <w:tab/>
        <w:t>34</w:t>
      </w:r>
    </w:p>
    <w:p w:rsidR="002F113B" w:rsidRDefault="002F113B" w:rsidP="002F113B">
      <w:pPr>
        <w:pStyle w:val="Spis2"/>
      </w:pPr>
      <w:r>
        <w:t>Aleksandra Szczęsny</w:t>
      </w:r>
    </w:p>
    <w:p w:rsidR="002F113B" w:rsidRDefault="002F113B" w:rsidP="002F113B">
      <w:pPr>
        <w:pStyle w:val="Spis3"/>
      </w:pPr>
      <w:proofErr w:type="spellStart"/>
      <w:r>
        <w:t>Wewnątrzwspólnotowa</w:t>
      </w:r>
      <w:proofErr w:type="spellEnd"/>
      <w:r>
        <w:t xml:space="preserve"> dostawa towarów w</w:t>
      </w:r>
      <w:r>
        <w:rPr>
          <w:rtl/>
          <w:lang w:bidi="ar-YE"/>
        </w:rPr>
        <w:t xml:space="preserve"> świetle ustawy </w:t>
      </w:r>
      <w:r>
        <w:t>z</w:t>
      </w:r>
      <w:r>
        <w:rPr>
          <w:rtl/>
          <w:lang w:bidi="ar-YE"/>
        </w:rPr>
        <w:t> </w:t>
      </w:r>
      <w:r>
        <w:t>dnia 11</w:t>
      </w:r>
      <w:r>
        <w:rPr>
          <w:rtl/>
          <w:lang w:bidi="ar-YE"/>
        </w:rPr>
        <w:t> </w:t>
      </w:r>
      <w:r>
        <w:t>marca 2004 r. o</w:t>
      </w:r>
      <w:r>
        <w:rPr>
          <w:rtl/>
          <w:lang w:bidi="ar-YE"/>
        </w:rPr>
        <w:t> </w:t>
      </w:r>
      <w:r>
        <w:t>podatku od</w:t>
      </w:r>
      <w:r>
        <w:rPr>
          <w:rtl/>
          <w:lang w:bidi="ar-YE"/>
        </w:rPr>
        <w:t> </w:t>
      </w:r>
      <w:r>
        <w:t>towarów i</w:t>
      </w:r>
      <w:r>
        <w:rPr>
          <w:rtl/>
          <w:lang w:bidi="ar-YE"/>
        </w:rPr>
        <w:t> </w:t>
      </w:r>
      <w:r>
        <w:t>usług</w:t>
      </w:r>
      <w:r>
        <w:tab/>
      </w:r>
      <w:r>
        <w:tab/>
        <w:t>37</w:t>
      </w:r>
    </w:p>
    <w:p w:rsidR="002F113B" w:rsidRDefault="002F113B" w:rsidP="002F113B">
      <w:pPr>
        <w:pStyle w:val="Spis2"/>
      </w:pPr>
      <w:r>
        <w:t>Barbara Głowacka</w:t>
      </w:r>
    </w:p>
    <w:p w:rsidR="002F113B" w:rsidRDefault="002F113B" w:rsidP="002F113B">
      <w:pPr>
        <w:pStyle w:val="Spis3"/>
      </w:pPr>
      <w:r>
        <w:t>Pomyłka na dokumencie celnym a</w:t>
      </w:r>
      <w:r>
        <w:rPr>
          <w:rtl/>
          <w:lang w:bidi="ar-YE"/>
        </w:rPr>
        <w:t> </w:t>
      </w:r>
      <w:r>
        <w:t>możliwość zastosowania art. 40 ustawy o</w:t>
      </w:r>
      <w:r>
        <w:rPr>
          <w:rtl/>
          <w:lang w:bidi="ar-YE"/>
        </w:rPr>
        <w:t> </w:t>
      </w:r>
      <w:r>
        <w:t>podatku od</w:t>
      </w:r>
      <w:r>
        <w:rPr>
          <w:rtl/>
          <w:lang w:bidi="ar-YE"/>
        </w:rPr>
        <w:t> </w:t>
      </w:r>
      <w:r>
        <w:t>towarów i</w:t>
      </w:r>
      <w:r>
        <w:rPr>
          <w:rtl/>
          <w:lang w:bidi="ar-YE"/>
        </w:rPr>
        <w:t> </w:t>
      </w:r>
      <w:r>
        <w:t>usług</w:t>
      </w:r>
      <w:r>
        <w:tab/>
      </w:r>
      <w:r>
        <w:tab/>
        <w:t>40</w:t>
      </w:r>
    </w:p>
    <w:p w:rsidR="002F113B" w:rsidRDefault="002F113B" w:rsidP="002F113B">
      <w:pPr>
        <w:pStyle w:val="Spis2"/>
      </w:pPr>
      <w:r>
        <w:t>Małgorzata Słomka</w:t>
      </w:r>
    </w:p>
    <w:p w:rsidR="002F113B" w:rsidRDefault="002F113B" w:rsidP="002F113B">
      <w:pPr>
        <w:pStyle w:val="Spis3"/>
      </w:pPr>
      <w:r>
        <w:t>Darowizna przedsiębiorstwa na gruncie VAT</w:t>
      </w:r>
      <w:r>
        <w:tab/>
      </w:r>
      <w:r>
        <w:tab/>
        <w:t>42</w:t>
      </w:r>
    </w:p>
    <w:p w:rsidR="002F113B" w:rsidRDefault="002F113B" w:rsidP="002F113B">
      <w:pPr>
        <w:pStyle w:val="Spis2"/>
      </w:pPr>
      <w:r>
        <w:t>Alicja Przybyło</w:t>
      </w:r>
    </w:p>
    <w:p w:rsidR="002F113B" w:rsidRDefault="002F113B" w:rsidP="002F113B">
      <w:pPr>
        <w:pStyle w:val="Spis3"/>
      </w:pPr>
      <w:r>
        <w:t>Podstawa opodatkowania w podatku od towarów i usług w przypadku odprzedawania przez spółkę posiłków pracownikom w</w:t>
      </w:r>
      <w:r>
        <w:rPr>
          <w:rtl/>
          <w:lang w:bidi="ar-YE"/>
        </w:rPr>
        <w:t> </w:t>
      </w:r>
      <w:r>
        <w:t>pomniejszonej cenie</w:t>
      </w:r>
      <w:r>
        <w:tab/>
      </w:r>
      <w:r>
        <w:tab/>
        <w:t>47</w:t>
      </w:r>
    </w:p>
    <w:p w:rsidR="002F113B" w:rsidRDefault="002F113B" w:rsidP="002F113B">
      <w:pPr>
        <w:pStyle w:val="Spis2"/>
      </w:pPr>
      <w:r>
        <w:t>Marek Zagórski</w:t>
      </w:r>
    </w:p>
    <w:p w:rsidR="002F113B" w:rsidRDefault="002F113B" w:rsidP="002F113B">
      <w:pPr>
        <w:pStyle w:val="Spis3"/>
      </w:pPr>
      <w:r>
        <w:t>Wydatki związane ze zbyciem udziałów lub akcji w</w:t>
      </w:r>
      <w:r>
        <w:rPr>
          <w:rtl/>
          <w:lang w:bidi="ar-YE"/>
        </w:rPr>
        <w:t> </w:t>
      </w:r>
      <w:r>
        <w:t>spółce a</w:t>
      </w:r>
      <w:r>
        <w:rPr>
          <w:rtl/>
          <w:lang w:bidi="ar-YE"/>
        </w:rPr>
        <w:t> </w:t>
      </w:r>
      <w:r>
        <w:t>koszty uzyskania przychodów</w:t>
      </w:r>
      <w:r>
        <w:tab/>
      </w:r>
      <w:r>
        <w:tab/>
        <w:t>50</w:t>
      </w:r>
    </w:p>
    <w:p w:rsidR="002F113B" w:rsidRDefault="002F113B" w:rsidP="002F113B">
      <w:pPr>
        <w:pStyle w:val="Spis1"/>
        <w:spacing w:before="227" w:after="113"/>
        <w:rPr>
          <w:color w:val="69104E"/>
        </w:rPr>
      </w:pPr>
      <w:r>
        <w:rPr>
          <w:color w:val="69104E"/>
        </w:rPr>
        <w:t>ANALIZY I OPINIE</w:t>
      </w:r>
    </w:p>
    <w:p w:rsidR="002F113B" w:rsidRDefault="002F113B" w:rsidP="002F113B">
      <w:pPr>
        <w:pStyle w:val="Spis2"/>
      </w:pPr>
      <w:r>
        <w:t xml:space="preserve">Maciej </w:t>
      </w:r>
      <w:proofErr w:type="spellStart"/>
      <w:r>
        <w:t>Jendraszczyk</w:t>
      </w:r>
      <w:proofErr w:type="spellEnd"/>
    </w:p>
    <w:p w:rsidR="002F113B" w:rsidRDefault="002F113B" w:rsidP="002F113B">
      <w:pPr>
        <w:pStyle w:val="Spis3"/>
      </w:pPr>
      <w:r>
        <w:t>Zapłata na rachunek bankowy polskiego pośrednika a podatek u źródła</w:t>
      </w:r>
      <w:r>
        <w:tab/>
      </w:r>
      <w:r>
        <w:tab/>
        <w:t>53</w:t>
      </w:r>
    </w:p>
    <w:p w:rsidR="002F113B" w:rsidRDefault="002F113B" w:rsidP="002F113B">
      <w:pPr>
        <w:pStyle w:val="Spis2"/>
      </w:pPr>
      <w:r>
        <w:t>Mariusz Kuśmierczyk</w:t>
      </w:r>
    </w:p>
    <w:p w:rsidR="002F113B" w:rsidRDefault="002F113B" w:rsidP="002F113B">
      <w:pPr>
        <w:pStyle w:val="Spis3"/>
      </w:pPr>
      <w:r>
        <w:t>Odpowiedzialność za szkodę wyrządzoną przez zaniechanie przy wykonywaniu władzy publicznej</w:t>
      </w:r>
      <w:r>
        <w:tab/>
      </w:r>
      <w:r>
        <w:tab/>
        <w:t>58</w:t>
      </w:r>
    </w:p>
    <w:p w:rsidR="002F113B" w:rsidRDefault="002F113B" w:rsidP="002F113B">
      <w:pPr>
        <w:pStyle w:val="Spis2"/>
      </w:pPr>
      <w:r>
        <w:t>Sebastian Kopacz</w:t>
      </w:r>
    </w:p>
    <w:p w:rsidR="002F113B" w:rsidRDefault="002F113B" w:rsidP="002F113B">
      <w:pPr>
        <w:pStyle w:val="Spis3"/>
      </w:pPr>
      <w:r>
        <w:t>Reprezentant i beneficjent rzeczywisty spółki kapitałowej należącej do</w:t>
      </w:r>
      <w:r>
        <w:rPr>
          <w:rtl/>
          <w:lang w:bidi="ar-YE"/>
        </w:rPr>
        <w:t> </w:t>
      </w:r>
      <w:r>
        <w:t>grupy kapitałowej a zgłoszenie do</w:t>
      </w:r>
      <w:r>
        <w:rPr>
          <w:rtl/>
          <w:lang w:bidi="ar-YE"/>
        </w:rPr>
        <w:t> </w:t>
      </w:r>
      <w:r>
        <w:t>Centralnego Rejestru Beneficjentów Rzeczywistych</w:t>
      </w:r>
      <w:r>
        <w:tab/>
      </w:r>
      <w:r>
        <w:tab/>
        <w:t>61</w:t>
      </w:r>
    </w:p>
    <w:p w:rsidR="002F113B" w:rsidRDefault="002F113B" w:rsidP="002F113B">
      <w:pPr>
        <w:pStyle w:val="Spis2"/>
      </w:pPr>
      <w:r>
        <w:lastRenderedPageBreak/>
        <w:t>Rafał Linka</w:t>
      </w:r>
    </w:p>
    <w:p w:rsidR="002F113B" w:rsidRDefault="002F113B" w:rsidP="002F113B">
      <w:pPr>
        <w:pStyle w:val="Spis3"/>
      </w:pPr>
      <w:r>
        <w:t>Kasy wirtualne w niektórych branżach – czy resort finansów dokonał słusznego wyboru?</w:t>
      </w:r>
      <w:r>
        <w:tab/>
      </w:r>
      <w:r>
        <w:tab/>
        <w:t>64</w:t>
      </w:r>
    </w:p>
    <w:p w:rsidR="002F113B" w:rsidRDefault="002F113B" w:rsidP="002F113B">
      <w:pPr>
        <w:pStyle w:val="Spis2"/>
      </w:pPr>
      <w:r>
        <w:t>dr Joanna Kiszka</w:t>
      </w:r>
    </w:p>
    <w:p w:rsidR="002F113B" w:rsidRDefault="002F113B" w:rsidP="002F113B">
      <w:pPr>
        <w:pStyle w:val="Spis3"/>
      </w:pPr>
      <w:r>
        <w:t>Podwyższone koszty uzyskania przychodu z</w:t>
      </w:r>
      <w:r>
        <w:rPr>
          <w:rtl/>
          <w:lang w:bidi="ar-YE"/>
        </w:rPr>
        <w:t> </w:t>
      </w:r>
      <w:r>
        <w:t>tytułu pracy twórczej a</w:t>
      </w:r>
      <w:r>
        <w:rPr>
          <w:rtl/>
          <w:lang w:bidi="ar-YE"/>
        </w:rPr>
        <w:t> </w:t>
      </w:r>
      <w:r>
        <w:t>wyodrębnienie honorarium</w:t>
      </w:r>
      <w:r>
        <w:tab/>
      </w:r>
      <w:r>
        <w:tab/>
        <w:t>66</w:t>
      </w:r>
    </w:p>
    <w:p w:rsidR="002F113B" w:rsidRDefault="002F113B" w:rsidP="002F113B">
      <w:pPr>
        <w:pStyle w:val="Spis1"/>
        <w:spacing w:after="113"/>
        <w:rPr>
          <w:color w:val="256572"/>
        </w:rPr>
      </w:pPr>
      <w:r>
        <w:rPr>
          <w:color w:val="256572"/>
        </w:rPr>
        <w:t>UBEZPIECZENIA SPOŁECZNE</w:t>
      </w:r>
    </w:p>
    <w:p w:rsidR="002F113B" w:rsidRDefault="002F113B" w:rsidP="002F113B">
      <w:pPr>
        <w:pStyle w:val="Spis3"/>
      </w:pPr>
      <w:r>
        <w:t>Działania ZUS w kontynuacji rządowych programów na rzecz przeciwdziałania skutkom pandemii COVID-19 w życiu gospodarczym i społecznym (Tarcza Antykryzysowa 4.0 i Polski Bon Turystyczny)</w:t>
      </w:r>
      <w:r>
        <w:tab/>
      </w:r>
      <w:r>
        <w:tab/>
        <w:t>71</w:t>
      </w:r>
    </w:p>
    <w:p w:rsidR="002F113B" w:rsidRDefault="002F113B" w:rsidP="002F113B">
      <w:pPr>
        <w:pStyle w:val="Spis2"/>
      </w:pPr>
      <w:r>
        <w:t>dr Agnieszka Sobiech, Maciej Sobiech</w:t>
      </w:r>
    </w:p>
    <w:p w:rsidR="002F113B" w:rsidRDefault="002F113B" w:rsidP="002F113B">
      <w:pPr>
        <w:pStyle w:val="Spis3"/>
      </w:pPr>
      <w:r>
        <w:t>Umowy o dzieło a podleganie ubezpieczeniom społecznym</w:t>
      </w:r>
      <w:r>
        <w:tab/>
      </w:r>
      <w:r>
        <w:tab/>
        <w:t>73</w:t>
      </w:r>
    </w:p>
    <w:p w:rsidR="002F113B" w:rsidRDefault="002F113B" w:rsidP="002F113B">
      <w:pPr>
        <w:pStyle w:val="Spis2"/>
      </w:pPr>
      <w:r>
        <w:t>Marek Zagórski</w:t>
      </w:r>
    </w:p>
    <w:p w:rsidR="002F113B" w:rsidRDefault="002F113B" w:rsidP="002F113B">
      <w:pPr>
        <w:pStyle w:val="Spis3"/>
      </w:pPr>
      <w:r>
        <w:t>Pojęcie pracownika na gruncie ubezpieczeń społecznych</w:t>
      </w:r>
      <w:r>
        <w:tab/>
      </w:r>
      <w:r>
        <w:tab/>
        <w:t>75</w:t>
      </w:r>
    </w:p>
    <w:p w:rsidR="002F113B" w:rsidRDefault="002F113B" w:rsidP="002F113B">
      <w:pPr>
        <w:pStyle w:val="Spis2"/>
      </w:pPr>
      <w:r>
        <w:t xml:space="preserve">Malwina </w:t>
      </w:r>
      <w:proofErr w:type="spellStart"/>
      <w:r>
        <w:t>Sik</w:t>
      </w:r>
      <w:proofErr w:type="spellEnd"/>
    </w:p>
    <w:p w:rsidR="002F113B" w:rsidRDefault="002F113B" w:rsidP="002F113B">
      <w:pPr>
        <w:pStyle w:val="Spis3"/>
      </w:pPr>
      <w:r>
        <w:t>Przyznanie prawa do zasiłku dla osoby bezrobotnej</w:t>
      </w:r>
      <w:r>
        <w:tab/>
      </w:r>
      <w:r>
        <w:tab/>
        <w:t>78</w:t>
      </w:r>
    </w:p>
    <w:p w:rsidR="002F113B" w:rsidRDefault="002F113B" w:rsidP="002F113B">
      <w:pPr>
        <w:pStyle w:val="Spis2"/>
      </w:pPr>
      <w:r>
        <w:t>Mariusz Kuśmierczyk</w:t>
      </w:r>
    </w:p>
    <w:p w:rsidR="002F113B" w:rsidRDefault="002F113B" w:rsidP="002F113B">
      <w:pPr>
        <w:pStyle w:val="Spis3"/>
      </w:pPr>
      <w:r>
        <w:t>Znaczenie pojęć choroby tożsamej i choroby współistniejącej dla okresu zasiłkowego</w:t>
      </w:r>
      <w:r>
        <w:tab/>
      </w:r>
      <w:r>
        <w:tab/>
        <w:t>80</w:t>
      </w:r>
    </w:p>
    <w:p w:rsidR="002F113B" w:rsidRDefault="002F113B" w:rsidP="002F113B">
      <w:pPr>
        <w:pStyle w:val="Spis1"/>
        <w:spacing w:before="227" w:after="113"/>
        <w:rPr>
          <w:color w:val="53A677"/>
        </w:rPr>
      </w:pPr>
      <w:r>
        <w:rPr>
          <w:color w:val="53A677"/>
        </w:rPr>
        <w:t>Dział Publicystyczny</w:t>
      </w:r>
    </w:p>
    <w:p w:rsidR="002F113B" w:rsidRDefault="002F113B" w:rsidP="002F113B">
      <w:pPr>
        <w:pStyle w:val="Spis2"/>
      </w:pPr>
      <w:r>
        <w:t>prof. dr hab. Witold Modzelewski</w:t>
      </w:r>
    </w:p>
    <w:p w:rsidR="002F113B" w:rsidRDefault="002F113B" w:rsidP="002F113B">
      <w:pPr>
        <w:pStyle w:val="Spis3"/>
      </w:pPr>
      <w:r>
        <w:t>Z kim prowadziliśmy wojnę w 1920 r.? Z Rosją czy z bolszewikami?</w:t>
      </w:r>
      <w:r>
        <w:tab/>
      </w:r>
      <w:r>
        <w:tab/>
        <w:t>83</w:t>
      </w:r>
    </w:p>
    <w:p w:rsidR="002F113B" w:rsidRDefault="002F113B" w:rsidP="002F113B">
      <w:pPr>
        <w:pStyle w:val="Spis1"/>
        <w:spacing w:before="227" w:after="113"/>
        <w:rPr>
          <w:color w:val="2A3062"/>
        </w:rPr>
      </w:pPr>
      <w:r>
        <w:rPr>
          <w:color w:val="2A3062"/>
        </w:rPr>
        <w:t>PODATKI DLA KSIĘGOWYCH</w:t>
      </w:r>
    </w:p>
    <w:p w:rsidR="002F113B" w:rsidRDefault="002F113B" w:rsidP="002F113B">
      <w:pPr>
        <w:pStyle w:val="Spis2"/>
      </w:pPr>
      <w:r>
        <w:t xml:space="preserve">Agata </w:t>
      </w:r>
      <w:proofErr w:type="spellStart"/>
      <w:r>
        <w:t>Strocka</w:t>
      </w:r>
      <w:proofErr w:type="spellEnd"/>
    </w:p>
    <w:p w:rsidR="002F113B" w:rsidRDefault="002F113B" w:rsidP="002F113B">
      <w:pPr>
        <w:pStyle w:val="Spis3"/>
        <w:rPr>
          <w:color w:val="2A3062"/>
        </w:rPr>
      </w:pPr>
      <w:r>
        <w:t xml:space="preserve">Podatki w </w:t>
      </w:r>
      <w:proofErr w:type="spellStart"/>
      <w:r>
        <w:t>praktyce.Zbycie</w:t>
      </w:r>
      <w:proofErr w:type="spellEnd"/>
      <w:r>
        <w:t xml:space="preserve"> udziałów, akcji oraz ogółu praw i</w:t>
      </w:r>
      <w:r>
        <w:rPr>
          <w:rtl/>
          <w:lang w:bidi="ar-YE"/>
        </w:rPr>
        <w:t> </w:t>
      </w:r>
      <w:r>
        <w:t>obowiązków w</w:t>
      </w:r>
      <w:r>
        <w:rPr>
          <w:rtl/>
          <w:lang w:bidi="ar-YE"/>
        </w:rPr>
        <w:t> </w:t>
      </w:r>
      <w:r>
        <w:t>spółce osobowej a</w:t>
      </w:r>
      <w:r>
        <w:rPr>
          <w:rtl/>
          <w:lang w:bidi="ar-YE"/>
        </w:rPr>
        <w:t> </w:t>
      </w:r>
      <w:r>
        <w:t>VAT. Wybór orzecznictwa i</w:t>
      </w:r>
      <w:r>
        <w:rPr>
          <w:rtl/>
          <w:lang w:bidi="ar-YE"/>
        </w:rPr>
        <w:t> </w:t>
      </w:r>
      <w:r>
        <w:t>piśmiennictwa</w:t>
      </w:r>
      <w:r>
        <w:tab/>
      </w:r>
      <w:r>
        <w:tab/>
        <w:t>84</w:t>
      </w:r>
    </w:p>
    <w:p w:rsidR="002F113B" w:rsidRDefault="002F113B" w:rsidP="002F113B">
      <w:pPr>
        <w:pStyle w:val="Spis1"/>
        <w:spacing w:before="227" w:after="113"/>
        <w:rPr>
          <w:color w:val="9B7519"/>
        </w:rPr>
      </w:pPr>
      <w:r>
        <w:rPr>
          <w:color w:val="9B7519"/>
        </w:rPr>
        <w:t>JUDYKATURA I INTERPRETACJE</w:t>
      </w:r>
    </w:p>
    <w:p w:rsidR="002F113B" w:rsidRDefault="002F113B" w:rsidP="002F113B">
      <w:pPr>
        <w:pStyle w:val="Spis3"/>
      </w:pPr>
      <w:r>
        <w:t>Orzecznictwo TSUE – wyrok z dnia 9 lipca 2020 r. w sprawie C-374/19 HF v. </w:t>
      </w:r>
      <w:proofErr w:type="spellStart"/>
      <w:r>
        <w:t>Finanzamt</w:t>
      </w:r>
      <w:proofErr w:type="spellEnd"/>
      <w:r>
        <w:t xml:space="preserve"> Bad </w:t>
      </w:r>
      <w:proofErr w:type="spellStart"/>
      <w:r>
        <w:t>Neuenahr-Ahrweiler</w:t>
      </w:r>
      <w:proofErr w:type="spellEnd"/>
      <w:r>
        <w:t xml:space="preserve"> </w:t>
      </w:r>
      <w:r>
        <w:tab/>
      </w:r>
      <w:r>
        <w:tab/>
        <w:t>88</w:t>
      </w:r>
    </w:p>
    <w:p w:rsidR="002F113B" w:rsidRDefault="002F113B" w:rsidP="002F113B">
      <w:pPr>
        <w:pStyle w:val="Spis2"/>
      </w:pPr>
      <w:r>
        <w:t>Kacper Wolak</w:t>
      </w:r>
    </w:p>
    <w:p w:rsidR="002F113B" w:rsidRDefault="002F113B" w:rsidP="002F113B">
      <w:pPr>
        <w:pStyle w:val="Spis3"/>
      </w:pPr>
      <w:r>
        <w:t>Brak udowodnienia przez organ podatkowy świadomości podatnika udziału w przestępstwie podatkowym a możliwość odliczenia podatku naliczonego od podatku należnego w podatku od towarów i usług</w:t>
      </w:r>
      <w:r>
        <w:tab/>
      </w:r>
      <w:r>
        <w:tab/>
        <w:t>92</w:t>
      </w:r>
    </w:p>
    <w:p w:rsidR="002F113B" w:rsidRDefault="002F113B" w:rsidP="002F113B">
      <w:pPr>
        <w:pStyle w:val="Spis2"/>
      </w:pPr>
      <w:r>
        <w:t>Alan Lipnicki</w:t>
      </w:r>
    </w:p>
    <w:p w:rsidR="002F113B" w:rsidRDefault="002F113B" w:rsidP="002F113B">
      <w:pPr>
        <w:pStyle w:val="Spis3"/>
      </w:pPr>
      <w:r>
        <w:t>Najnowsze orzecznictwo NSA dostrzegło rolę uprzednich kontroli niestwierdzających nieprawidłowości dla</w:t>
      </w:r>
      <w:r>
        <w:rPr>
          <w:rtl/>
          <w:lang w:bidi="ar-YE"/>
        </w:rPr>
        <w:t> </w:t>
      </w:r>
      <w:r>
        <w:t>oceny dochowania przez podatnika dobrej wiary</w:t>
      </w:r>
      <w:r>
        <w:tab/>
      </w:r>
      <w:r>
        <w:tab/>
        <w:t>94</w:t>
      </w:r>
    </w:p>
    <w:p w:rsidR="002F113B" w:rsidRDefault="002F113B" w:rsidP="002F113B">
      <w:pPr>
        <w:pStyle w:val="Spis1"/>
        <w:spacing w:after="227"/>
      </w:pPr>
      <w:r>
        <w:rPr>
          <w:color w:val="A30C1F"/>
        </w:rPr>
        <w:t>LEGISLACJA PODATKOWA</w:t>
      </w:r>
    </w:p>
    <w:p w:rsidR="002F113B" w:rsidRDefault="002F113B" w:rsidP="002F113B">
      <w:pPr>
        <w:pStyle w:val="Spis3"/>
      </w:pPr>
      <w:r>
        <w:t>Ustawa z dnia 5 czerwca 2020 r. o zmianie ustawy o podatku dochodowym od osób fizycznych, ustawy o podatku dochodowym od osób prawnych, ustawy o zryczałtowanym podatku dochodowym od niektórych przychodów osiąganych przez osoby fizyczne oraz niektórych innych ustaw</w:t>
      </w:r>
      <w:r>
        <w:tab/>
      </w:r>
      <w:r>
        <w:tab/>
        <w:t>96</w:t>
      </w:r>
    </w:p>
    <w:p w:rsidR="002F113B" w:rsidRDefault="002F113B" w:rsidP="002F113B">
      <w:pPr>
        <w:pStyle w:val="Spis3"/>
        <w:spacing w:before="113"/>
      </w:pPr>
      <w:r>
        <w:lastRenderedPageBreak/>
        <w:t>Ustawa z dnia 28 maja 2020 r. o zmianie ustawy o podatku dochodowym od osób prawnych, ustawy o podatku od towarów i usług, ustawy o wymianie informacji podatkowych z innymi państwami oraz niektórych innych ustaw</w:t>
      </w:r>
      <w:r>
        <w:tab/>
      </w:r>
      <w:r>
        <w:tab/>
        <w:t>105</w:t>
      </w:r>
    </w:p>
    <w:p w:rsidR="004332C8" w:rsidRDefault="004332C8"/>
    <w:sectPr w:rsidR="004332C8" w:rsidSect="002F113B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113B"/>
    <w:rsid w:val="002F113B"/>
    <w:rsid w:val="004332C8"/>
    <w:rsid w:val="00F5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ind w:left="128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2F113B"/>
    <w:pPr>
      <w:keepNext/>
      <w:tabs>
        <w:tab w:val="right" w:leader="dot" w:pos="6803"/>
      </w:tabs>
      <w:autoSpaceDE w:val="0"/>
      <w:autoSpaceDN w:val="0"/>
      <w:adjustRightInd w:val="0"/>
      <w:spacing w:before="340" w:line="260" w:lineRule="atLeast"/>
      <w:ind w:left="0" w:firstLine="0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2">
    <w:name w:val="Spis2"/>
    <w:basedOn w:val="Normalny"/>
    <w:uiPriority w:val="99"/>
    <w:rsid w:val="002F113B"/>
    <w:pPr>
      <w:keepNext/>
      <w:keepLines/>
      <w:tabs>
        <w:tab w:val="right" w:leader="dot" w:pos="6803"/>
      </w:tabs>
      <w:autoSpaceDE w:val="0"/>
      <w:autoSpaceDN w:val="0"/>
      <w:adjustRightInd w:val="0"/>
      <w:spacing w:before="85" w:line="240" w:lineRule="atLeast"/>
      <w:ind w:left="0"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pis3">
    <w:name w:val="Spis3"/>
    <w:basedOn w:val="Normalny"/>
    <w:uiPriority w:val="99"/>
    <w:rsid w:val="002F113B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line="210" w:lineRule="atLeast"/>
      <w:ind w:left="0" w:right="510" w:firstLine="0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2020-07-28T08:07:00Z</dcterms:created>
  <dcterms:modified xsi:type="dcterms:W3CDTF">2020-07-28T08:08:00Z</dcterms:modified>
</cp:coreProperties>
</file>