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095744" w14:textId="77777777" w:rsidR="001740D3" w:rsidRDefault="001740D3" w:rsidP="001740D3">
      <w:pPr>
        <w:pStyle w:val="Spis1"/>
        <w:spacing w:after="113"/>
        <w:rPr>
          <w:color w:val="6E4700"/>
        </w:rPr>
      </w:pPr>
      <w:r>
        <w:rPr>
          <w:color w:val="6E4700"/>
        </w:rPr>
        <w:t>KONFERENCJA UW</w:t>
      </w:r>
    </w:p>
    <w:p w14:paraId="1065B774" w14:textId="77777777" w:rsidR="001740D3" w:rsidRDefault="001740D3" w:rsidP="001740D3">
      <w:pPr>
        <w:pStyle w:val="Spis2"/>
      </w:pPr>
      <w:r>
        <w:t>dr Mateusz Tchórzewski</w:t>
      </w:r>
    </w:p>
    <w:p w14:paraId="293B9843" w14:textId="77777777" w:rsidR="001740D3" w:rsidRDefault="001740D3" w:rsidP="001740D3">
      <w:pPr>
        <w:pStyle w:val="Spis3"/>
      </w:pPr>
      <w:r>
        <w:t>Sądowa wykładnia prawa w zakresie zwolnień wyrobów energetycznych i energii elektrycznej z podatku akcyzowego</w:t>
      </w:r>
      <w:r>
        <w:tab/>
      </w:r>
      <w:r>
        <w:tab/>
        <w:t>5</w:t>
      </w:r>
    </w:p>
    <w:p w14:paraId="6E4D01E0" w14:textId="77777777" w:rsidR="001740D3" w:rsidRDefault="001740D3" w:rsidP="001740D3">
      <w:pPr>
        <w:pStyle w:val="Spis2"/>
      </w:pPr>
      <w:r>
        <w:t>Maciej Cyprian Flis</w:t>
      </w:r>
    </w:p>
    <w:p w14:paraId="1B4DEFC7" w14:textId="77777777" w:rsidR="001740D3" w:rsidRDefault="001740D3" w:rsidP="001740D3">
      <w:pPr>
        <w:pStyle w:val="Spis3"/>
      </w:pPr>
      <w:r>
        <w:t>Akcyza na alkohol a polska gospodarka</w:t>
      </w:r>
      <w:r>
        <w:tab/>
      </w:r>
      <w:r>
        <w:tab/>
        <w:t>13</w:t>
      </w:r>
    </w:p>
    <w:p w14:paraId="17F47372" w14:textId="77777777" w:rsidR="001740D3" w:rsidRDefault="001740D3" w:rsidP="001740D3">
      <w:pPr>
        <w:pStyle w:val="Spis1"/>
        <w:rPr>
          <w:color w:val="DA8D00"/>
        </w:rPr>
      </w:pPr>
      <w:r>
        <w:rPr>
          <w:color w:val="DA8D00"/>
        </w:rPr>
        <w:t>ROZPRAWY I DYSERTACJE</w:t>
      </w:r>
    </w:p>
    <w:p w14:paraId="17FDA133" w14:textId="77777777" w:rsidR="001740D3" w:rsidRDefault="001740D3" w:rsidP="001740D3">
      <w:pPr>
        <w:pStyle w:val="Spis2"/>
      </w:pPr>
      <w:r>
        <w:t>dr Krzysztof Radzikowski</w:t>
      </w:r>
    </w:p>
    <w:p w14:paraId="781DF19F" w14:textId="77777777" w:rsidR="001740D3" w:rsidRDefault="001740D3" w:rsidP="001740D3">
      <w:pPr>
        <w:pStyle w:val="Spis3"/>
      </w:pPr>
      <w:r>
        <w:t>Współczesne dylematy równości i sprawiedliwości opodatkowania (cz. 2)</w:t>
      </w:r>
      <w:r>
        <w:tab/>
      </w:r>
      <w:r>
        <w:tab/>
        <w:t>21</w:t>
      </w:r>
    </w:p>
    <w:p w14:paraId="2FCB67A2" w14:textId="77777777" w:rsidR="001740D3" w:rsidRDefault="001740D3" w:rsidP="001740D3">
      <w:pPr>
        <w:pStyle w:val="Spis2"/>
      </w:pPr>
      <w:r>
        <w:t xml:space="preserve">Katarzyna </w:t>
      </w:r>
      <w:proofErr w:type="spellStart"/>
      <w:r>
        <w:t>Dokukin</w:t>
      </w:r>
      <w:proofErr w:type="spellEnd"/>
    </w:p>
    <w:p w14:paraId="295389E5" w14:textId="77777777" w:rsidR="001740D3" w:rsidRDefault="001740D3" w:rsidP="001740D3">
      <w:pPr>
        <w:pStyle w:val="Spis3"/>
      </w:pPr>
      <w:r>
        <w:t>Historia instytucji interpretacji przepisów prawa podatkowego – okres od 1980 r. do 2016 r.</w:t>
      </w:r>
      <w:r>
        <w:tab/>
      </w:r>
      <w:r>
        <w:tab/>
        <w:t>25</w:t>
      </w:r>
    </w:p>
    <w:p w14:paraId="04DDDA15" w14:textId="77777777" w:rsidR="001740D3" w:rsidRDefault="001740D3" w:rsidP="001740D3">
      <w:pPr>
        <w:pStyle w:val="Spis2"/>
      </w:pPr>
      <w:r>
        <w:t>dr Joanna Kiszka</w:t>
      </w:r>
    </w:p>
    <w:p w14:paraId="4E03FA78" w14:textId="77777777" w:rsidR="001740D3" w:rsidRDefault="001740D3" w:rsidP="001740D3">
      <w:pPr>
        <w:pStyle w:val="Spis3"/>
      </w:pPr>
      <w:r>
        <w:t xml:space="preserve">Ulga abolicyjna – istota, zmiany zakresu zastosowania i ich konsekwencje </w:t>
      </w:r>
      <w:r>
        <w:tab/>
      </w:r>
      <w:r>
        <w:tab/>
        <w:t>33</w:t>
      </w:r>
    </w:p>
    <w:p w14:paraId="09ACB932" w14:textId="77777777" w:rsidR="001740D3" w:rsidRDefault="001740D3" w:rsidP="001740D3">
      <w:pPr>
        <w:pStyle w:val="Spis2"/>
      </w:pPr>
      <w:r>
        <w:t xml:space="preserve">Prof. </w:t>
      </w:r>
      <w:proofErr w:type="spellStart"/>
      <w:r>
        <w:t>nadzw</w:t>
      </w:r>
      <w:proofErr w:type="spellEnd"/>
      <w:r>
        <w:t>. dr hab. Aleksander Werner</w:t>
      </w:r>
    </w:p>
    <w:p w14:paraId="42496059" w14:textId="77777777" w:rsidR="001740D3" w:rsidRDefault="001740D3" w:rsidP="001740D3">
      <w:pPr>
        <w:pStyle w:val="Spis3"/>
      </w:pPr>
      <w:r>
        <w:t xml:space="preserve">Recenzja książki prof. dr. hab. Witolda Modzelewskiego pt. </w:t>
      </w:r>
      <w:r>
        <w:rPr>
          <w:i/>
          <w:iCs/>
        </w:rPr>
        <w:t>Stanowienie, interpretacja i</w:t>
      </w:r>
      <w:r>
        <w:rPr>
          <w:b/>
          <w:bCs/>
        </w:rPr>
        <w:t xml:space="preserve"> </w:t>
      </w:r>
      <w:r>
        <w:rPr>
          <w:i/>
          <w:iCs/>
        </w:rPr>
        <w:t>stosowanie prawa podatkowego – problemy sporne</w:t>
      </w:r>
      <w:r>
        <w:t>, Wydawnictwo Instytutu Studiów Podatkowych, Warszawa 2020</w:t>
      </w:r>
      <w:r>
        <w:tab/>
      </w:r>
      <w:r>
        <w:tab/>
        <w:t>42</w:t>
      </w:r>
    </w:p>
    <w:p w14:paraId="1401FE1E" w14:textId="77777777" w:rsidR="001740D3" w:rsidRDefault="001740D3" w:rsidP="001740D3">
      <w:pPr>
        <w:pStyle w:val="Spis1"/>
        <w:spacing w:before="454"/>
      </w:pPr>
      <w:r>
        <w:t>ARTYKUŁY I STUDIA</w:t>
      </w:r>
    </w:p>
    <w:p w14:paraId="2B7E78D3" w14:textId="77777777" w:rsidR="001740D3" w:rsidRDefault="001740D3" w:rsidP="001740D3">
      <w:pPr>
        <w:pStyle w:val="Spis2"/>
      </w:pPr>
      <w:r>
        <w:t>Mariusz Kuśmierczyk</w:t>
      </w:r>
    </w:p>
    <w:p w14:paraId="2DEE0BC6" w14:textId="77777777" w:rsidR="001740D3" w:rsidRDefault="001740D3" w:rsidP="001740D3">
      <w:pPr>
        <w:pStyle w:val="Spis3"/>
      </w:pPr>
      <w:r>
        <w:t>Przekształcenie jednoosobowej działalności gospodarczej w spółkę kapitałową</w:t>
      </w:r>
      <w:r>
        <w:tab/>
      </w:r>
      <w:r>
        <w:tab/>
        <w:t>45</w:t>
      </w:r>
    </w:p>
    <w:p w14:paraId="20466B98" w14:textId="77777777" w:rsidR="001740D3" w:rsidRDefault="001740D3" w:rsidP="001740D3">
      <w:pPr>
        <w:pStyle w:val="Spis2"/>
      </w:pPr>
      <w:r>
        <w:t>Alicja Przybyło</w:t>
      </w:r>
    </w:p>
    <w:p w14:paraId="489A76B1" w14:textId="77777777" w:rsidR="001740D3" w:rsidRDefault="001740D3" w:rsidP="001740D3">
      <w:pPr>
        <w:pStyle w:val="Spis3"/>
      </w:pPr>
      <w:r>
        <w:t>Ustawa z dnia 10 grudnia 2020 r. o zmianie ustawy o podatku akcyzowym oraz niektórych innych ustaw – najważniejsze założenia</w:t>
      </w:r>
      <w:r>
        <w:tab/>
      </w:r>
      <w:r>
        <w:tab/>
        <w:t>48</w:t>
      </w:r>
    </w:p>
    <w:p w14:paraId="68C84149" w14:textId="77777777" w:rsidR="001740D3" w:rsidRDefault="001740D3" w:rsidP="001740D3">
      <w:pPr>
        <w:pStyle w:val="Spis2"/>
      </w:pPr>
      <w:r>
        <w:t>Katarzyna Wawrzonkiewicz</w:t>
      </w:r>
    </w:p>
    <w:p w14:paraId="657D7751" w14:textId="77777777" w:rsidR="001740D3" w:rsidRDefault="001740D3" w:rsidP="001740D3">
      <w:pPr>
        <w:pStyle w:val="Spis3"/>
      </w:pPr>
      <w:r>
        <w:t>Organizacja wesel – oszacowanie podstawy opodatkowania</w:t>
      </w:r>
      <w:r>
        <w:tab/>
      </w:r>
      <w:r>
        <w:tab/>
        <w:t>50</w:t>
      </w:r>
    </w:p>
    <w:p w14:paraId="19574A8D" w14:textId="77777777" w:rsidR="001740D3" w:rsidRDefault="001740D3" w:rsidP="001740D3">
      <w:pPr>
        <w:pStyle w:val="Spis2"/>
      </w:pPr>
      <w:r>
        <w:t>Aleksandra Szczęsny</w:t>
      </w:r>
    </w:p>
    <w:p w14:paraId="44D3BAD2" w14:textId="77777777" w:rsidR="001740D3" w:rsidRDefault="001740D3" w:rsidP="001740D3">
      <w:pPr>
        <w:pStyle w:val="Spis3"/>
      </w:pPr>
      <w:r>
        <w:t>Aport niepieniężny a podatek od towarów i usług</w:t>
      </w:r>
      <w:r>
        <w:tab/>
      </w:r>
      <w:r>
        <w:tab/>
        <w:t>52</w:t>
      </w:r>
    </w:p>
    <w:p w14:paraId="09B2DB97" w14:textId="77777777" w:rsidR="001740D3" w:rsidRDefault="001740D3" w:rsidP="001740D3">
      <w:pPr>
        <w:pStyle w:val="Spis2"/>
      </w:pPr>
      <w:r>
        <w:t>Barbara Głowacka</w:t>
      </w:r>
    </w:p>
    <w:p w14:paraId="2D9EE668" w14:textId="77777777" w:rsidR="001740D3" w:rsidRDefault="001740D3" w:rsidP="001740D3">
      <w:pPr>
        <w:pStyle w:val="Spis3"/>
      </w:pPr>
      <w:r>
        <w:t>Świadczenie usług związanych z wyżywieniem w sklepach a kasy rejestrujące online</w:t>
      </w:r>
      <w:r>
        <w:tab/>
      </w:r>
      <w:r>
        <w:tab/>
        <w:t>55</w:t>
      </w:r>
    </w:p>
    <w:p w14:paraId="43F9E040" w14:textId="77777777" w:rsidR="001740D3" w:rsidRDefault="001740D3" w:rsidP="001740D3">
      <w:pPr>
        <w:pStyle w:val="Spis2"/>
      </w:pPr>
      <w:r>
        <w:t>Małgorzata Słomka</w:t>
      </w:r>
    </w:p>
    <w:p w14:paraId="641CC121" w14:textId="77777777" w:rsidR="001740D3" w:rsidRDefault="001740D3" w:rsidP="001740D3">
      <w:pPr>
        <w:pStyle w:val="Spis3"/>
      </w:pPr>
      <w:r>
        <w:t>Czy zryczałtowany zwrot kosztów podróży zleceniobiorcy korzysta ze zwolnienia od podatku?</w:t>
      </w:r>
      <w:r>
        <w:tab/>
      </w:r>
      <w:r>
        <w:tab/>
        <w:t>58</w:t>
      </w:r>
    </w:p>
    <w:p w14:paraId="3E29EC93" w14:textId="77777777" w:rsidR="001740D3" w:rsidRDefault="001740D3" w:rsidP="001740D3">
      <w:pPr>
        <w:pStyle w:val="Spis1"/>
        <w:spacing w:before="454"/>
        <w:rPr>
          <w:color w:val="69104E"/>
        </w:rPr>
      </w:pPr>
      <w:r>
        <w:rPr>
          <w:color w:val="69104E"/>
        </w:rPr>
        <w:lastRenderedPageBreak/>
        <w:t>ANALIZY I OPINIE</w:t>
      </w:r>
    </w:p>
    <w:p w14:paraId="69659838" w14:textId="77777777" w:rsidR="001740D3" w:rsidRDefault="001740D3" w:rsidP="001740D3">
      <w:pPr>
        <w:pStyle w:val="Spis2"/>
      </w:pPr>
      <w:r>
        <w:t>prof. dr hab. Witold Modzelewski</w:t>
      </w:r>
    </w:p>
    <w:p w14:paraId="798D8DDB" w14:textId="77777777" w:rsidR="001740D3" w:rsidRDefault="001740D3" w:rsidP="001740D3">
      <w:pPr>
        <w:pStyle w:val="Spis3"/>
      </w:pPr>
      <w:r>
        <w:t>Czy podatnicy, zwłaszcza będący przedsiębiorcami, mają (choć trochę) zaufania do prawa podatkowego?</w:t>
      </w:r>
      <w:r>
        <w:tab/>
      </w:r>
      <w:r>
        <w:tab/>
        <w:t>61</w:t>
      </w:r>
    </w:p>
    <w:p w14:paraId="468811E1" w14:textId="77777777" w:rsidR="001740D3" w:rsidRDefault="001740D3" w:rsidP="001740D3">
      <w:pPr>
        <w:pStyle w:val="Spis2"/>
      </w:pPr>
      <w:r>
        <w:t>Marek Zagórski</w:t>
      </w:r>
    </w:p>
    <w:p w14:paraId="6D22C060" w14:textId="77777777" w:rsidR="001740D3" w:rsidRDefault="001740D3" w:rsidP="001740D3">
      <w:pPr>
        <w:pStyle w:val="Spis3"/>
      </w:pPr>
      <w:r>
        <w:t>Odpowiedzialność odszkodowawcza Skarbu Państwa w Konstytucji RP</w:t>
      </w:r>
      <w:r>
        <w:tab/>
      </w:r>
      <w:r>
        <w:tab/>
        <w:t>62</w:t>
      </w:r>
    </w:p>
    <w:p w14:paraId="693B0255" w14:textId="77777777" w:rsidR="001740D3" w:rsidRDefault="001740D3" w:rsidP="001740D3">
      <w:pPr>
        <w:pStyle w:val="Spis2"/>
      </w:pPr>
      <w:r>
        <w:t>Maciej Jendraszczyk</w:t>
      </w:r>
    </w:p>
    <w:p w14:paraId="17D5609B" w14:textId="77777777" w:rsidR="001740D3" w:rsidRDefault="001740D3" w:rsidP="001740D3">
      <w:pPr>
        <w:pStyle w:val="Spis3"/>
      </w:pPr>
      <w:r>
        <w:t>Licencja jako wartość niematerialna i prawna – wybrane zagadnienia</w:t>
      </w:r>
      <w:r>
        <w:tab/>
      </w:r>
      <w:r>
        <w:tab/>
        <w:t>65</w:t>
      </w:r>
    </w:p>
    <w:p w14:paraId="6FE7D919" w14:textId="77777777" w:rsidR="001740D3" w:rsidRDefault="001740D3" w:rsidP="001740D3">
      <w:pPr>
        <w:pStyle w:val="Spis1"/>
        <w:spacing w:after="170"/>
        <w:rPr>
          <w:color w:val="256572"/>
        </w:rPr>
      </w:pPr>
      <w:r>
        <w:rPr>
          <w:color w:val="256572"/>
        </w:rPr>
        <w:t>UBEZPIECZENIA SPOŁECZNE</w:t>
      </w:r>
    </w:p>
    <w:p w14:paraId="2C80762A" w14:textId="77777777" w:rsidR="001740D3" w:rsidRDefault="001740D3" w:rsidP="001740D3">
      <w:pPr>
        <w:pStyle w:val="Spis3"/>
      </w:pPr>
      <w:r>
        <w:t>ZUS realizuje szóstą Tarczę Antykryzysową wspierającą przedsiębiorców</w:t>
      </w:r>
      <w:r>
        <w:tab/>
      </w:r>
      <w:r>
        <w:tab/>
        <w:t>70</w:t>
      </w:r>
    </w:p>
    <w:p w14:paraId="5741FA41" w14:textId="77777777" w:rsidR="001740D3" w:rsidRDefault="001740D3" w:rsidP="001740D3">
      <w:pPr>
        <w:pStyle w:val="Spis2"/>
      </w:pPr>
      <w:r>
        <w:t>Marek Zagórski</w:t>
      </w:r>
    </w:p>
    <w:p w14:paraId="192A7704" w14:textId="77777777" w:rsidR="001740D3" w:rsidRDefault="001740D3" w:rsidP="001740D3">
      <w:pPr>
        <w:pStyle w:val="Spis3"/>
      </w:pPr>
      <w:r>
        <w:t>Postanowienie Sądu Najwyższego z dnia 8 października 2020 r., III UK 411/19</w:t>
      </w:r>
      <w:r>
        <w:tab/>
      </w:r>
      <w:r>
        <w:tab/>
        <w:t>73</w:t>
      </w:r>
    </w:p>
    <w:p w14:paraId="0D24A168" w14:textId="77777777" w:rsidR="001740D3" w:rsidRDefault="001740D3" w:rsidP="001740D3">
      <w:pPr>
        <w:pStyle w:val="Spis2"/>
      </w:pPr>
      <w:r>
        <w:t>Mariusz Kuśmierczyk</w:t>
      </w:r>
    </w:p>
    <w:p w14:paraId="5150DB29" w14:textId="77777777" w:rsidR="001740D3" w:rsidRDefault="001740D3" w:rsidP="001740D3">
      <w:pPr>
        <w:pStyle w:val="Spis3"/>
      </w:pPr>
      <w:r>
        <w:t>Zmiany w ustawie o systemie ubezpieczeń społecznych wprowadzające obowiązek zgłaszania do ZUS informacji o zawarciu umowy o dzieło</w:t>
      </w:r>
      <w:r>
        <w:tab/>
      </w:r>
      <w:r>
        <w:tab/>
        <w:t>75</w:t>
      </w:r>
    </w:p>
    <w:p w14:paraId="25F49F92" w14:textId="77777777" w:rsidR="001740D3" w:rsidRDefault="001740D3" w:rsidP="001740D3">
      <w:pPr>
        <w:pStyle w:val="Spis1"/>
        <w:rPr>
          <w:color w:val="53A677"/>
        </w:rPr>
      </w:pPr>
      <w:r>
        <w:rPr>
          <w:color w:val="53A677"/>
        </w:rPr>
        <w:t>Dział Publicystyczny</w:t>
      </w:r>
    </w:p>
    <w:p w14:paraId="349A5831" w14:textId="77777777" w:rsidR="001740D3" w:rsidRDefault="001740D3" w:rsidP="001740D3">
      <w:pPr>
        <w:pStyle w:val="Spis2"/>
      </w:pPr>
      <w:r>
        <w:t>dr Dariusz Maciej Grabowski</w:t>
      </w:r>
    </w:p>
    <w:p w14:paraId="20361377" w14:textId="77777777" w:rsidR="001740D3" w:rsidRDefault="001740D3" w:rsidP="001740D3">
      <w:pPr>
        <w:pStyle w:val="Spis3"/>
      </w:pPr>
      <w:r>
        <w:t>Inflacja pogrąży polską przedsiębiorczość</w:t>
      </w:r>
      <w:r>
        <w:tab/>
      </w:r>
      <w:r>
        <w:tab/>
        <w:t>78</w:t>
      </w:r>
    </w:p>
    <w:p w14:paraId="55957088" w14:textId="77777777" w:rsidR="001740D3" w:rsidRDefault="001740D3" w:rsidP="001740D3">
      <w:pPr>
        <w:pStyle w:val="Spis2"/>
      </w:pPr>
      <w:r>
        <w:t>prof. dr hab. Witold Modzelewski</w:t>
      </w:r>
    </w:p>
    <w:p w14:paraId="610AE300" w14:textId="77777777" w:rsidR="001740D3" w:rsidRDefault="001740D3" w:rsidP="001740D3">
      <w:pPr>
        <w:pStyle w:val="Spis3"/>
      </w:pPr>
      <w:r>
        <w:t>Czy ktoś zbadał konflikty interesów związane z biznesem epidemicznym?</w:t>
      </w:r>
      <w:r>
        <w:tab/>
      </w:r>
      <w:r>
        <w:tab/>
        <w:t>79</w:t>
      </w:r>
    </w:p>
    <w:p w14:paraId="79B36FC8" w14:textId="77777777" w:rsidR="001740D3" w:rsidRDefault="001740D3" w:rsidP="001740D3">
      <w:pPr>
        <w:pStyle w:val="Spis1"/>
        <w:spacing w:before="397"/>
        <w:rPr>
          <w:color w:val="2A3062"/>
        </w:rPr>
      </w:pPr>
      <w:r>
        <w:rPr>
          <w:color w:val="2A3062"/>
        </w:rPr>
        <w:t>PODATKI DLA KSIĘGOWYCH</w:t>
      </w:r>
    </w:p>
    <w:p w14:paraId="73D4445D" w14:textId="77777777" w:rsidR="001740D3" w:rsidRDefault="001740D3" w:rsidP="001740D3">
      <w:pPr>
        <w:pStyle w:val="Spis2"/>
      </w:pPr>
      <w:r>
        <w:t>Agata Strocka</w:t>
      </w:r>
    </w:p>
    <w:p w14:paraId="314F959A" w14:textId="77777777" w:rsidR="001740D3" w:rsidRDefault="001740D3" w:rsidP="001740D3">
      <w:pPr>
        <w:pStyle w:val="Spis3"/>
      </w:pPr>
      <w:r>
        <w:t>Podatki w</w:t>
      </w:r>
      <w:r>
        <w:rPr>
          <w:rtl/>
          <w:lang w:bidi="ar-YE"/>
        </w:rPr>
        <w:t> </w:t>
      </w:r>
      <w:r>
        <w:t>praktyce. Naruszenie przepisów Ordynacji podatkowej w</w:t>
      </w:r>
      <w:r>
        <w:rPr>
          <w:rtl/>
          <w:lang w:bidi="ar-YE"/>
        </w:rPr>
        <w:t> </w:t>
      </w:r>
      <w:r>
        <w:t>związku z</w:t>
      </w:r>
      <w:r>
        <w:rPr>
          <w:rtl/>
          <w:lang w:bidi="ar-YE"/>
        </w:rPr>
        <w:t> </w:t>
      </w:r>
      <w:r>
        <w:t>brakiem przeprowadzenia wnioskowanego dowodu</w:t>
      </w:r>
      <w:r>
        <w:tab/>
      </w:r>
      <w:r>
        <w:tab/>
        <w:t>81</w:t>
      </w:r>
    </w:p>
    <w:p w14:paraId="552B0B7D" w14:textId="77777777" w:rsidR="001740D3" w:rsidRDefault="001740D3"/>
    <w:sectPr w:rsidR="001740D3" w:rsidSect="001740D3">
      <w:pgSz w:w="11906" w:h="16838"/>
      <w:pgMar w:top="720" w:right="3515" w:bottom="720" w:left="3515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0D3"/>
    <w:rsid w:val="0017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0C2F9"/>
  <w15:chartTrackingRefBased/>
  <w15:docId w15:val="{EBE0212C-2CD2-48C3-B1C7-D75BCD2C1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pis1">
    <w:name w:val="Spis1"/>
    <w:basedOn w:val="Normalny"/>
    <w:uiPriority w:val="99"/>
    <w:rsid w:val="001740D3"/>
    <w:pPr>
      <w:keepNext/>
      <w:tabs>
        <w:tab w:val="right" w:leader="dot" w:pos="6803"/>
      </w:tabs>
      <w:autoSpaceDE w:val="0"/>
      <w:autoSpaceDN w:val="0"/>
      <w:adjustRightInd w:val="0"/>
      <w:spacing w:before="340" w:after="0" w:line="260" w:lineRule="atLeast"/>
      <w:jc w:val="center"/>
      <w:textAlignment w:val="center"/>
    </w:pPr>
    <w:rPr>
      <w:rFonts w:ascii="Arial" w:hAnsi="Arial" w:cs="Arial"/>
      <w:b/>
      <w:bCs/>
      <w:caps/>
      <w:color w:val="1E6635"/>
      <w:sz w:val="26"/>
      <w:szCs w:val="26"/>
    </w:rPr>
  </w:style>
  <w:style w:type="paragraph" w:customStyle="1" w:styleId="Spis2">
    <w:name w:val="Spis2"/>
    <w:basedOn w:val="Normalny"/>
    <w:uiPriority w:val="99"/>
    <w:rsid w:val="001740D3"/>
    <w:pPr>
      <w:keepNext/>
      <w:keepLines/>
      <w:tabs>
        <w:tab w:val="right" w:leader="dot" w:pos="6803"/>
      </w:tabs>
      <w:autoSpaceDE w:val="0"/>
      <w:autoSpaceDN w:val="0"/>
      <w:adjustRightInd w:val="0"/>
      <w:spacing w:before="227" w:after="0" w:line="260" w:lineRule="atLeast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Spis3">
    <w:name w:val="Spis3"/>
    <w:basedOn w:val="Normalny"/>
    <w:uiPriority w:val="99"/>
    <w:rsid w:val="001740D3"/>
    <w:pPr>
      <w:keepLines/>
      <w:tabs>
        <w:tab w:val="left" w:leader="dot" w:pos="4420"/>
        <w:tab w:val="right" w:pos="4900"/>
      </w:tabs>
      <w:autoSpaceDE w:val="0"/>
      <w:autoSpaceDN w:val="0"/>
      <w:adjustRightInd w:val="0"/>
      <w:spacing w:after="0" w:line="240" w:lineRule="atLeast"/>
      <w:ind w:right="510"/>
      <w:jc w:val="both"/>
      <w:textAlignment w:val="center"/>
    </w:pPr>
    <w:rPr>
      <w:rFonts w:ascii="Arial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2101</Characters>
  <Application>Microsoft Office Word</Application>
  <DocSecurity>0</DocSecurity>
  <Lines>17</Lines>
  <Paragraphs>4</Paragraphs>
  <ScaleCrop>false</ScaleCrop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gonufrowicz</dc:creator>
  <cp:keywords/>
  <dc:description/>
  <cp:lastModifiedBy>gonufrowicz</cp:lastModifiedBy>
  <cp:revision>1</cp:revision>
  <dcterms:created xsi:type="dcterms:W3CDTF">2021-02-02T13:29:00Z</dcterms:created>
  <dcterms:modified xsi:type="dcterms:W3CDTF">2021-02-02T13:29:00Z</dcterms:modified>
</cp:coreProperties>
</file>